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</w:rPr>
        <w:t>研究生公能奖学金评审通知</w:t>
      </w:r>
    </w:p>
    <w:p>
      <w:pPr>
        <w:spacing w:line="360" w:lineRule="auto"/>
        <w:contextualSpacing/>
        <w:jc w:val="left"/>
        <w:rPr>
          <w:rFonts w:hint="default" w:ascii="黑体" w:hAnsi="黑体" w:eastAsia="黑体"/>
          <w:sz w:val="22"/>
          <w:szCs w:val="21"/>
          <w:lang w:val="en-US" w:eastAsia="zh-CN"/>
        </w:rPr>
      </w:pPr>
      <w:r>
        <w:rPr>
          <w:rFonts w:hint="eastAsia" w:ascii="黑体" w:hAnsi="黑体" w:eastAsia="黑体"/>
          <w:sz w:val="22"/>
          <w:szCs w:val="21"/>
        </w:rPr>
        <w:t>研究生公能奖学金评审实行“申请制”。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具体细则请查看附件《</w:t>
      </w:r>
      <w:r>
        <w:rPr>
          <w:rFonts w:hint="eastAsia" w:ascii="黑体" w:hAnsi="黑体" w:eastAsia="黑体"/>
          <w:sz w:val="22"/>
          <w:szCs w:val="21"/>
        </w:rPr>
        <w:t>物理科学学院、泰达应用物理研究院202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</w:t>
      </w:r>
      <w:r>
        <w:rPr>
          <w:rFonts w:hint="eastAsia" w:ascii="黑体" w:hAnsi="黑体" w:eastAsia="黑体"/>
          <w:sz w:val="22"/>
          <w:szCs w:val="21"/>
        </w:rPr>
        <w:t>年研究生公能奖学金评审实施细则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》。</w:t>
      </w:r>
    </w:p>
    <w:p>
      <w:pPr>
        <w:numPr>
          <w:ilvl w:val="0"/>
          <w:numId w:val="1"/>
        </w:num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除202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</w:t>
      </w:r>
      <w:r>
        <w:rPr>
          <w:rFonts w:hint="eastAsia" w:ascii="黑体" w:hAnsi="黑体" w:eastAsia="黑体"/>
          <w:sz w:val="22"/>
          <w:szCs w:val="21"/>
        </w:rPr>
        <w:t>级新生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按照评定前新生标准发放</w:t>
      </w:r>
      <w:r>
        <w:rPr>
          <w:rFonts w:hint="eastAsia" w:ascii="黑体" w:hAnsi="黑体" w:eastAsia="黑体"/>
          <w:sz w:val="22"/>
          <w:szCs w:val="21"/>
        </w:rPr>
        <w:t>外</w:t>
      </w:r>
      <w:r>
        <w:rPr>
          <w:rFonts w:hint="eastAsia" w:ascii="黑体" w:hAnsi="黑体" w:eastAsia="黑体"/>
          <w:sz w:val="22"/>
          <w:szCs w:val="21"/>
          <w:lang w:eastAsia="zh-CN"/>
        </w:rPr>
        <w:t>，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本学期公能奖学金申请，凡</w:t>
      </w:r>
      <w:r>
        <w:rPr>
          <w:rFonts w:hint="eastAsia" w:ascii="黑体" w:hAnsi="黑体" w:eastAsia="黑体"/>
          <w:sz w:val="22"/>
          <w:szCs w:val="21"/>
        </w:rPr>
        <w:t>在规定的基本学制内的所有符合申请条件的研究生</w:t>
      </w:r>
      <w:r>
        <w:rPr>
          <w:rFonts w:hint="eastAsia" w:ascii="黑体" w:hAnsi="黑体" w:eastAsia="黑体"/>
          <w:sz w:val="22"/>
          <w:szCs w:val="21"/>
          <w:lang w:eastAsia="zh-CN"/>
        </w:rPr>
        <w:t>（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2021级、2020级中国籍研究生，以及2019级和2018级直博生</w:t>
      </w:r>
      <w:r>
        <w:rPr>
          <w:rFonts w:hint="eastAsia" w:ascii="黑体" w:hAnsi="黑体" w:eastAsia="黑体"/>
          <w:sz w:val="22"/>
          <w:szCs w:val="21"/>
          <w:lang w:eastAsia="zh-CN"/>
        </w:rPr>
        <w:t>）</w:t>
      </w:r>
      <w:r>
        <w:rPr>
          <w:rFonts w:hint="eastAsia" w:ascii="黑体" w:hAnsi="黑体" w:eastAsia="黑体"/>
          <w:sz w:val="22"/>
          <w:szCs w:val="21"/>
        </w:rPr>
        <w:t>均需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 xml:space="preserve">填写“学生培养质量管理系统”  </w:t>
      </w:r>
      <w:r>
        <w:rPr>
          <w:rFonts w:hint="eastAsia" w:ascii="黑体" w:hAnsi="黑体" w:eastAsia="黑体"/>
          <w:sz w:val="22"/>
          <w:szCs w:val="21"/>
        </w:rPr>
        <w:t>并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上传附件（</w:t>
      </w:r>
      <w:r>
        <w:rPr>
          <w:rFonts w:hint="eastAsia" w:ascii="黑体" w:hAnsi="黑体" w:eastAsia="黑体"/>
          <w:sz w:val="22"/>
          <w:szCs w:val="21"/>
        </w:rPr>
        <w:t>证明材料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）</w:t>
      </w:r>
      <w:r>
        <w:rPr>
          <w:rFonts w:hint="eastAsia" w:ascii="黑体" w:hAnsi="黑体" w:eastAsia="黑体"/>
          <w:sz w:val="22"/>
          <w:szCs w:val="21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contextualSpacing/>
        <w:jc w:val="left"/>
        <w:rPr>
          <w:rFonts w:hint="eastAsia" w:ascii="黑体" w:hAnsi="黑体" w:eastAsia="黑体"/>
          <w:sz w:val="22"/>
          <w:szCs w:val="21"/>
          <w:lang w:eastAsia="zh-CN"/>
        </w:rPr>
      </w:pPr>
      <w:r>
        <w:rPr>
          <w:rFonts w:hint="eastAsia" w:ascii="黑体" w:hAnsi="黑体" w:eastAsia="黑体"/>
          <w:sz w:val="22"/>
          <w:szCs w:val="21"/>
          <w:lang w:val="en-US" w:eastAsia="zh-CN"/>
        </w:rPr>
        <w:t>今年如新上线的系统畅通，拟不再需要大家交纸质证明材料。只需要在系统审核结束后，大家将公能奖学金审批表从系统一键导出打印，找导师签字后交班长，</w:t>
      </w:r>
      <w:r>
        <w:rPr>
          <w:rFonts w:hint="eastAsia" w:ascii="黑体" w:hAnsi="黑体" w:eastAsia="黑体"/>
          <w:sz w:val="22"/>
          <w:szCs w:val="21"/>
        </w:rPr>
        <w:t>班长请集中交于兼职辅导员张丹昊。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请</w:t>
      </w:r>
      <w:r>
        <w:rPr>
          <w:rFonts w:hint="eastAsia" w:ascii="黑体" w:hAnsi="黑体" w:eastAsia="黑体"/>
          <w:sz w:val="22"/>
          <w:szCs w:val="21"/>
        </w:rPr>
        <w:t>各年级班长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将材料</w:t>
      </w:r>
      <w:r>
        <w:rPr>
          <w:rFonts w:hint="eastAsia" w:ascii="黑体" w:hAnsi="黑体" w:eastAsia="黑体"/>
          <w:sz w:val="22"/>
          <w:szCs w:val="21"/>
          <w:lang w:eastAsia="zh-CN"/>
        </w:rPr>
        <w:t>：</w:t>
      </w:r>
      <w:r>
        <w:rPr>
          <w:rFonts w:hint="eastAsia" w:ascii="黑体" w:hAnsi="黑体" w:eastAsia="黑体"/>
          <w:sz w:val="22"/>
          <w:szCs w:val="21"/>
        </w:rPr>
        <w:t>硕博分开，申请一、二、三等分开</w:t>
      </w:r>
      <w:r>
        <w:rPr>
          <w:rFonts w:hint="eastAsia" w:ascii="黑体" w:hAnsi="黑体" w:eastAsia="黑体"/>
          <w:sz w:val="22"/>
          <w:szCs w:val="21"/>
          <w:lang w:eastAsia="zh-CN"/>
        </w:rPr>
        <w:t>。</w:t>
      </w:r>
    </w:p>
    <w:p>
      <w:pPr>
        <w:numPr>
          <w:numId w:val="0"/>
        </w:numPr>
        <w:spacing w:line="360" w:lineRule="auto"/>
        <w:ind w:leftChars="0"/>
        <w:contextualSpacing/>
        <w:jc w:val="left"/>
        <w:rPr>
          <w:rFonts w:hint="eastAsia" w:ascii="黑体" w:hAnsi="黑体" w:eastAsia="黑体"/>
          <w:sz w:val="22"/>
          <w:szCs w:val="21"/>
          <w:lang w:val="en-US" w:eastAsia="zh-CN"/>
        </w:rPr>
      </w:pPr>
      <w:r>
        <w:rPr>
          <w:rFonts w:hint="eastAsia" w:ascii="黑体" w:hAnsi="黑体" w:eastAsia="黑体"/>
          <w:sz w:val="22"/>
          <w:szCs w:val="21"/>
          <w:lang w:val="en-US" w:eastAsia="zh-CN"/>
        </w:rPr>
        <w:t>2021级博士班长：徐睿    2021级硕士班长：龚泽宇</w:t>
      </w:r>
    </w:p>
    <w:p>
      <w:pPr>
        <w:numPr>
          <w:numId w:val="0"/>
        </w:numPr>
        <w:spacing w:line="360" w:lineRule="auto"/>
        <w:ind w:leftChars="0"/>
        <w:contextualSpacing/>
        <w:jc w:val="left"/>
        <w:rPr>
          <w:rFonts w:hint="eastAsia" w:ascii="黑体" w:hAnsi="黑体" w:eastAsia="黑体"/>
          <w:sz w:val="22"/>
          <w:szCs w:val="21"/>
          <w:lang w:val="en-US" w:eastAsia="zh-CN"/>
        </w:rPr>
      </w:pPr>
      <w:r>
        <w:rPr>
          <w:rFonts w:hint="eastAsia" w:ascii="黑体" w:hAnsi="黑体" w:eastAsia="黑体"/>
          <w:sz w:val="22"/>
          <w:szCs w:val="21"/>
          <w:lang w:val="en-US" w:eastAsia="zh-CN"/>
        </w:rPr>
        <w:t>2020级博士班长：张亚卿  2020级硕士班长：张丹昊</w:t>
      </w:r>
    </w:p>
    <w:p>
      <w:pPr>
        <w:spacing w:line="460" w:lineRule="exact"/>
        <w:rPr>
          <w:rFonts w:hint="eastAsia" w:ascii="黑体" w:hAnsi="黑体" w:eastAsia="黑体" w:cs="仿宋_GB2312"/>
          <w:sz w:val="24"/>
          <w:szCs w:val="24"/>
          <w:highlight w:val="yellow"/>
          <w:lang w:eastAsia="zh-CN"/>
        </w:rPr>
      </w:pPr>
      <w:r>
        <w:rPr>
          <w:rFonts w:hint="eastAsia" w:ascii="黑体" w:hAnsi="黑体" w:eastAsia="黑体" w:cs="仿宋_GB2312"/>
          <w:sz w:val="24"/>
          <w:szCs w:val="24"/>
        </w:rPr>
        <w:t>学院评审工作时间安排</w:t>
      </w:r>
      <w:r>
        <w:rPr>
          <w:rFonts w:hint="eastAsia" w:ascii="黑体" w:hAnsi="黑体" w:eastAsia="黑体" w:cs="仿宋_GB2312"/>
          <w:sz w:val="24"/>
          <w:szCs w:val="24"/>
          <w:lang w:eastAsia="zh-CN"/>
        </w:rPr>
        <w:t>：</w:t>
      </w:r>
    </w:p>
    <w:p>
      <w:pPr>
        <w:spacing w:line="460" w:lineRule="exact"/>
        <w:ind w:firstLine="480" w:firstLineChars="200"/>
        <w:rPr>
          <w:rFonts w:ascii="仿宋" w:hAnsi="仿宋" w:eastAsia="仿宋" w:cs="仿宋_GB2312"/>
          <w:bCs/>
          <w:sz w:val="24"/>
          <w:szCs w:val="24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>1.9月2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_GB2312"/>
          <w:bCs/>
          <w:sz w:val="24"/>
          <w:szCs w:val="24"/>
        </w:rPr>
        <w:t>日-9月2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24"/>
          <w:szCs w:val="24"/>
        </w:rPr>
        <w:t>日，学生填报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系统并上传</w:t>
      </w:r>
      <w:r>
        <w:rPr>
          <w:rFonts w:hint="eastAsia" w:ascii="仿宋" w:hAnsi="仿宋" w:eastAsia="仿宋" w:cs="仿宋_GB2312"/>
          <w:bCs/>
          <w:sz w:val="24"/>
          <w:szCs w:val="24"/>
        </w:rPr>
        <w:t>申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报证明</w:t>
      </w:r>
      <w:r>
        <w:rPr>
          <w:rFonts w:hint="eastAsia" w:ascii="仿宋" w:hAnsi="仿宋" w:eastAsia="仿宋" w:cs="仿宋_GB2312"/>
          <w:bCs/>
          <w:sz w:val="24"/>
          <w:szCs w:val="24"/>
        </w:rPr>
        <w:t>材料；</w:t>
      </w:r>
    </w:p>
    <w:p>
      <w:pPr>
        <w:spacing w:line="460" w:lineRule="exact"/>
        <w:ind w:firstLine="480" w:firstLineChars="200"/>
        <w:rPr>
          <w:rFonts w:ascii="仿宋" w:hAnsi="仿宋" w:eastAsia="仿宋" w:cs="仿宋_GB2312"/>
          <w:bCs/>
          <w:sz w:val="24"/>
          <w:szCs w:val="24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>2.9月2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sz w:val="24"/>
          <w:szCs w:val="24"/>
        </w:rPr>
        <w:t>日-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_GB2312"/>
          <w:bCs/>
          <w:sz w:val="24"/>
          <w:szCs w:val="24"/>
        </w:rPr>
        <w:t>月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_GB2312"/>
          <w:bCs/>
          <w:sz w:val="24"/>
          <w:szCs w:val="24"/>
        </w:rPr>
        <w:t>日，学院审核学生申请材料；</w:t>
      </w:r>
    </w:p>
    <w:p>
      <w:pPr>
        <w:spacing w:line="460" w:lineRule="exact"/>
        <w:ind w:firstLine="480" w:firstLineChars="200"/>
        <w:rPr>
          <w:rFonts w:hint="default" w:ascii="仿宋" w:hAnsi="仿宋" w:eastAsia="仿宋" w:cs="仿宋_GB2312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>3.10月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10日-10月</w:t>
      </w:r>
      <w:r>
        <w:rPr>
          <w:rFonts w:hint="eastAsia" w:ascii="仿宋" w:hAnsi="仿宋" w:eastAsia="仿宋" w:cs="仿宋_GB2312"/>
          <w:bCs/>
          <w:sz w:val="24"/>
          <w:szCs w:val="24"/>
        </w:rPr>
        <w:t>1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_GB2312"/>
          <w:bCs/>
          <w:sz w:val="24"/>
          <w:szCs w:val="24"/>
        </w:rPr>
        <w:t>日</w:t>
      </w:r>
      <w:r>
        <w:rPr>
          <w:rFonts w:hint="eastAsia" w:ascii="仿宋" w:hAnsi="仿宋" w:eastAsia="仿宋" w:cs="仿宋_GB2312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学生从系统导出审批表找导师签字后交班长。</w:t>
      </w:r>
    </w:p>
    <w:p>
      <w:pPr>
        <w:spacing w:line="460" w:lineRule="exact"/>
        <w:ind w:firstLine="480" w:firstLineChars="200"/>
        <w:rPr>
          <w:rFonts w:ascii="仿宋" w:hAnsi="仿宋" w:eastAsia="仿宋" w:cs="仿宋_GB2312"/>
          <w:bCs/>
          <w:sz w:val="24"/>
          <w:szCs w:val="24"/>
        </w:rPr>
      </w:pP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_GB2312"/>
          <w:bCs/>
          <w:sz w:val="24"/>
          <w:szCs w:val="24"/>
        </w:rPr>
        <w:t>10月</w:t>
      </w:r>
      <w:r>
        <w:rPr>
          <w:rFonts w:hint="eastAsia" w:ascii="仿宋" w:hAnsi="仿宋" w:eastAsia="仿宋" w:cs="仿宋_GB2312"/>
          <w:bCs/>
          <w:sz w:val="24"/>
          <w:szCs w:val="24"/>
          <w:lang w:val="en-US" w:eastAsia="zh-CN"/>
        </w:rPr>
        <w:t>12日-10月</w:t>
      </w:r>
      <w:r>
        <w:rPr>
          <w:rFonts w:hint="eastAsia" w:ascii="仿宋" w:hAnsi="仿宋" w:eastAsia="仿宋" w:cs="仿宋_GB2312"/>
          <w:bCs/>
          <w:sz w:val="24"/>
          <w:szCs w:val="24"/>
        </w:rPr>
        <w:t>13日，学院公能奖学金评审工作小组进行初步评审，并将初评结果提交学院研究生奖学金评审委员会审定。</w:t>
      </w:r>
    </w:p>
    <w:p>
      <w:pPr>
        <w:spacing w:line="460" w:lineRule="exact"/>
        <w:ind w:firstLine="360" w:firstLineChars="150"/>
        <w:rPr>
          <w:rFonts w:ascii="仿宋" w:hAnsi="仿宋" w:eastAsia="仿宋" w:cs="仿宋_GB2312"/>
          <w:bCs/>
          <w:sz w:val="24"/>
          <w:szCs w:val="24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 xml:space="preserve"> 4.学院公示评定结果，接受复议申请；</w:t>
      </w:r>
    </w:p>
    <w:p>
      <w:pPr>
        <w:spacing w:line="460" w:lineRule="exact"/>
        <w:ind w:firstLine="480" w:firstLineChars="200"/>
        <w:rPr>
          <w:rFonts w:ascii="仿宋" w:hAnsi="仿宋" w:eastAsia="仿宋" w:cs="仿宋_GB2312"/>
          <w:bCs/>
          <w:sz w:val="24"/>
          <w:szCs w:val="24"/>
        </w:rPr>
      </w:pPr>
      <w:r>
        <w:rPr>
          <w:rFonts w:hint="eastAsia" w:ascii="仿宋" w:hAnsi="仿宋" w:eastAsia="仿宋" w:cs="仿宋_GB2312"/>
          <w:bCs/>
          <w:sz w:val="24"/>
          <w:szCs w:val="24"/>
        </w:rPr>
        <w:t>5.将评定结果上报党委研究生</w:t>
      </w:r>
      <w:r>
        <w:rPr>
          <w:rFonts w:ascii="仿宋" w:hAnsi="仿宋" w:eastAsia="仿宋" w:cs="仿宋_GB2312"/>
          <w:bCs/>
          <w:sz w:val="24"/>
          <w:szCs w:val="24"/>
        </w:rPr>
        <w:t>工作部</w:t>
      </w:r>
      <w:r>
        <w:rPr>
          <w:rFonts w:hint="eastAsia" w:ascii="仿宋" w:hAnsi="仿宋" w:eastAsia="仿宋" w:cs="仿宋_GB2312"/>
          <w:bCs/>
          <w:sz w:val="24"/>
          <w:szCs w:val="24"/>
        </w:rPr>
        <w:t>。</w:t>
      </w:r>
    </w:p>
    <w:p>
      <w:pPr>
        <w:numPr>
          <w:numId w:val="0"/>
        </w:numPr>
        <w:spacing w:line="360" w:lineRule="auto"/>
        <w:ind w:leftChars="0"/>
        <w:contextualSpacing/>
        <w:jc w:val="left"/>
        <w:rPr>
          <w:rFonts w:hint="default" w:ascii="黑体" w:hAnsi="黑体" w:eastAsia="黑体"/>
          <w:sz w:val="22"/>
          <w:szCs w:val="21"/>
          <w:lang w:val="en-US" w:eastAsia="zh-CN"/>
        </w:rPr>
      </w:pPr>
    </w:p>
    <w:p>
      <w:pPr>
        <w:spacing w:line="360" w:lineRule="auto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另请注意：</w:t>
      </w:r>
    </w:p>
    <w:p>
      <w:pPr>
        <w:spacing w:line="360" w:lineRule="auto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1、202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1</w:t>
      </w:r>
      <w:r>
        <w:rPr>
          <w:rFonts w:hint="eastAsia" w:ascii="黑体" w:hAnsi="黑体" w:eastAsia="黑体"/>
          <w:sz w:val="22"/>
          <w:szCs w:val="21"/>
        </w:rPr>
        <w:t>-202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</w:t>
      </w:r>
      <w:r>
        <w:rPr>
          <w:rFonts w:hint="eastAsia" w:ascii="黑体" w:hAnsi="黑体" w:eastAsia="黑体"/>
          <w:sz w:val="22"/>
          <w:szCs w:val="21"/>
        </w:rPr>
        <w:t>学年（上学年）有挂科2门及以上者，请将学号、姓名QQ私信发送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教务老师张晓鹏</w:t>
      </w:r>
      <w:r>
        <w:rPr>
          <w:rFonts w:hint="eastAsia" w:ascii="黑体" w:hAnsi="黑体" w:eastAsia="黑体"/>
          <w:sz w:val="22"/>
          <w:szCs w:val="21"/>
        </w:rPr>
        <w:t>。</w:t>
      </w:r>
    </w:p>
    <w:p>
      <w:pPr>
        <w:spacing w:line="360" w:lineRule="auto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2、上学年参评公能奖学金时“接收”的文章，今年不能重复使用。</w:t>
      </w:r>
    </w:p>
    <w:p>
      <w:pPr>
        <w:spacing w:line="360" w:lineRule="auto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3、参评科研成果须是202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1</w:t>
      </w:r>
      <w:r>
        <w:rPr>
          <w:rFonts w:hint="eastAsia" w:ascii="黑体" w:hAnsi="黑体" w:eastAsia="黑体"/>
          <w:sz w:val="22"/>
          <w:szCs w:val="21"/>
        </w:rPr>
        <w:t>年10月1日 至202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</w:t>
      </w:r>
      <w:r>
        <w:rPr>
          <w:rFonts w:hint="eastAsia" w:ascii="黑体" w:hAnsi="黑体" w:eastAsia="黑体"/>
          <w:sz w:val="22"/>
          <w:szCs w:val="21"/>
        </w:rPr>
        <w:t>年9月30日期间正式发表的论文，或已有正式接收函确定发表的论文。（接收函须有导师签字确认）</w:t>
      </w:r>
    </w:p>
    <w:p>
      <w:pPr>
        <w:spacing w:line="360" w:lineRule="auto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4、参评等级（一、二、三等）只能填写一个。今年转博生不参评，按评定前新生标准发放。</w:t>
      </w:r>
    </w:p>
    <w:p>
      <w:pPr>
        <w:spacing w:line="360" w:lineRule="auto"/>
        <w:contextualSpacing/>
        <w:jc w:val="left"/>
        <w:rPr>
          <w:rFonts w:ascii="黑体" w:hAnsi="黑体" w:eastAsia="黑体"/>
          <w:sz w:val="22"/>
          <w:szCs w:val="21"/>
        </w:rPr>
      </w:pPr>
    </w:p>
    <w:p>
      <w:pPr>
        <w:spacing w:line="360" w:lineRule="auto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  <w:lang w:val="en-US" w:eastAsia="zh-CN"/>
        </w:rPr>
        <w:t>公能奖学金“学生培养质量管理系统”填写补充</w:t>
      </w:r>
      <w:r>
        <w:rPr>
          <w:rFonts w:ascii="黑体" w:hAnsi="黑体" w:eastAsia="黑体"/>
          <w:sz w:val="22"/>
          <w:szCs w:val="21"/>
        </w:rPr>
        <w:t>说明</w:t>
      </w:r>
      <w:r>
        <w:rPr>
          <w:rFonts w:hint="eastAsia" w:ascii="黑体" w:hAnsi="黑体" w:eastAsia="黑体"/>
          <w:sz w:val="22"/>
          <w:szCs w:val="21"/>
        </w:rPr>
        <w:t>: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  <w:lang w:val="en-US" w:eastAsia="zh-CN"/>
        </w:rPr>
        <w:t>学院审批后，学生从系统导出审批表打印要求：</w:t>
      </w:r>
      <w:r>
        <w:rPr>
          <w:rFonts w:hint="eastAsia" w:ascii="黑体" w:hAnsi="黑体" w:eastAsia="黑体"/>
          <w:sz w:val="22"/>
          <w:szCs w:val="21"/>
        </w:rPr>
        <w:t>A4纸，正反面打印</w:t>
      </w:r>
      <w:r>
        <w:rPr>
          <w:rFonts w:hint="eastAsia" w:ascii="黑体" w:hAnsi="黑体" w:eastAsia="黑体"/>
          <w:sz w:val="22"/>
          <w:szCs w:val="21"/>
          <w:lang w:eastAsia="zh-CN"/>
        </w:rPr>
        <w:t>，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如多页请装订</w:t>
      </w:r>
      <w:r>
        <w:rPr>
          <w:rFonts w:hint="eastAsia" w:ascii="黑体" w:hAnsi="黑体" w:eastAsia="黑体"/>
          <w:sz w:val="22"/>
          <w:szCs w:val="21"/>
        </w:rPr>
        <w:t>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政治面目填写“中共党员”、“中共预备党员”、“共青团员”、“群众”，若为民主党派则如实填写党派名称。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学生类别填写“硕士研究生”或“博士研究生”。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学制填写“3” 、“4”或“5”。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代表</w:t>
      </w:r>
      <w:r>
        <w:rPr>
          <w:rFonts w:ascii="黑体" w:hAnsi="黑体" w:eastAsia="黑体"/>
          <w:sz w:val="22"/>
          <w:szCs w:val="21"/>
        </w:rPr>
        <w:t>科研成果包括</w:t>
      </w:r>
      <w:r>
        <w:rPr>
          <w:rFonts w:hint="eastAsia" w:ascii="黑体" w:hAnsi="黑体" w:eastAsia="黑体"/>
          <w:sz w:val="22"/>
          <w:szCs w:val="21"/>
        </w:rPr>
        <w:t>已</w:t>
      </w:r>
      <w:r>
        <w:rPr>
          <w:rFonts w:ascii="黑体" w:hAnsi="黑体" w:eastAsia="黑体"/>
          <w:sz w:val="22"/>
          <w:szCs w:val="21"/>
        </w:rPr>
        <w:t>发表</w:t>
      </w:r>
      <w:r>
        <w:rPr>
          <w:rFonts w:hint="eastAsia" w:ascii="黑体" w:hAnsi="黑体" w:eastAsia="黑体"/>
          <w:sz w:val="22"/>
          <w:szCs w:val="21"/>
        </w:rPr>
        <w:t>或</w:t>
      </w:r>
      <w:r>
        <w:rPr>
          <w:rFonts w:ascii="黑体" w:hAnsi="黑体" w:eastAsia="黑体"/>
          <w:sz w:val="22"/>
          <w:szCs w:val="21"/>
        </w:rPr>
        <w:t>已接收科研论文（</w:t>
      </w:r>
      <w:r>
        <w:rPr>
          <w:rFonts w:hint="eastAsia" w:ascii="黑体" w:hAnsi="黑体" w:eastAsia="黑体"/>
          <w:sz w:val="22"/>
          <w:szCs w:val="21"/>
        </w:rPr>
        <w:t>限填学生</w:t>
      </w:r>
      <w:r>
        <w:rPr>
          <w:rFonts w:ascii="黑体" w:hAnsi="黑体" w:eastAsia="黑体"/>
          <w:sz w:val="22"/>
          <w:szCs w:val="21"/>
        </w:rPr>
        <w:t>三作</w:t>
      </w:r>
      <w:r>
        <w:rPr>
          <w:rFonts w:hint="eastAsia" w:ascii="黑体" w:hAnsi="黑体" w:eastAsia="黑体"/>
          <w:sz w:val="22"/>
          <w:szCs w:val="21"/>
        </w:rPr>
        <w:t>及</w:t>
      </w:r>
      <w:r>
        <w:rPr>
          <w:rFonts w:ascii="黑体" w:hAnsi="黑体" w:eastAsia="黑体"/>
          <w:sz w:val="22"/>
          <w:szCs w:val="21"/>
        </w:rPr>
        <w:t>以上）、已</w:t>
      </w:r>
      <w:r>
        <w:rPr>
          <w:rFonts w:hint="eastAsia" w:ascii="黑体" w:hAnsi="黑体" w:eastAsia="黑体"/>
          <w:sz w:val="22"/>
          <w:szCs w:val="21"/>
        </w:rPr>
        <w:t>取得公开</w:t>
      </w:r>
      <w:r>
        <w:rPr>
          <w:rFonts w:ascii="黑体" w:hAnsi="黑体" w:eastAsia="黑体"/>
          <w:sz w:val="22"/>
          <w:szCs w:val="21"/>
        </w:rPr>
        <w:t>号的专利</w:t>
      </w:r>
      <w:r>
        <w:rPr>
          <w:rFonts w:hint="eastAsia" w:ascii="黑体" w:hAnsi="黑体" w:eastAsia="黑体"/>
          <w:sz w:val="22"/>
          <w:szCs w:val="21"/>
        </w:rPr>
        <w:t>（限填作为</w:t>
      </w:r>
      <w:r>
        <w:rPr>
          <w:rFonts w:ascii="黑体" w:hAnsi="黑体" w:eastAsia="黑体"/>
          <w:sz w:val="22"/>
          <w:szCs w:val="21"/>
        </w:rPr>
        <w:t>发明人排名前四的成果</w:t>
      </w:r>
      <w:r>
        <w:rPr>
          <w:rFonts w:hint="eastAsia" w:ascii="黑体" w:hAnsi="黑体" w:eastAsia="黑体"/>
          <w:sz w:val="22"/>
          <w:szCs w:val="21"/>
        </w:rPr>
        <w:t>）、</w:t>
      </w:r>
      <w:r>
        <w:rPr>
          <w:rFonts w:ascii="黑体" w:hAnsi="黑体" w:eastAsia="黑体"/>
          <w:sz w:val="22"/>
          <w:szCs w:val="21"/>
        </w:rPr>
        <w:t>省部级</w:t>
      </w:r>
      <w:r>
        <w:rPr>
          <w:rFonts w:hint="eastAsia" w:ascii="黑体" w:hAnsi="黑体" w:eastAsia="黑体"/>
          <w:sz w:val="22"/>
          <w:szCs w:val="21"/>
        </w:rPr>
        <w:t>及</w:t>
      </w:r>
      <w:r>
        <w:rPr>
          <w:rFonts w:ascii="黑体" w:hAnsi="黑体" w:eastAsia="黑体"/>
          <w:sz w:val="22"/>
          <w:szCs w:val="21"/>
        </w:rPr>
        <w:t>以上科研奖项等，请</w:t>
      </w:r>
      <w:r>
        <w:rPr>
          <w:rFonts w:hint="eastAsia" w:ascii="黑体" w:hAnsi="黑体" w:eastAsia="黑体"/>
          <w:sz w:val="22"/>
          <w:szCs w:val="21"/>
        </w:rPr>
        <w:t>参照示例</w:t>
      </w:r>
      <w:r>
        <w:rPr>
          <w:rFonts w:ascii="黑体" w:hAnsi="黑体" w:eastAsia="黑体"/>
          <w:sz w:val="22"/>
          <w:szCs w:val="21"/>
        </w:rPr>
        <w:t>格式填写。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导师</w:t>
      </w:r>
      <w:r>
        <w:rPr>
          <w:rFonts w:ascii="黑体" w:hAnsi="黑体" w:eastAsia="黑体"/>
          <w:sz w:val="22"/>
          <w:szCs w:val="21"/>
        </w:rPr>
        <w:t>意见栏须明确表明是否同意该生申请研究生公能奖学金</w:t>
      </w:r>
      <w:r>
        <w:rPr>
          <w:rFonts w:hint="eastAsia" w:ascii="黑体" w:hAnsi="黑体" w:eastAsia="黑体"/>
          <w:sz w:val="22"/>
          <w:szCs w:val="21"/>
        </w:rPr>
        <w:t>,并</w:t>
      </w:r>
      <w:r>
        <w:rPr>
          <w:rFonts w:ascii="黑体" w:hAnsi="黑体" w:eastAsia="黑体"/>
          <w:sz w:val="22"/>
          <w:szCs w:val="21"/>
        </w:rPr>
        <w:t>请</w:t>
      </w:r>
      <w:r>
        <w:rPr>
          <w:rFonts w:hint="eastAsia" w:ascii="黑体" w:hAnsi="黑体" w:eastAsia="黑体"/>
          <w:sz w:val="22"/>
          <w:szCs w:val="21"/>
        </w:rPr>
        <w:t>详尽</w:t>
      </w:r>
      <w:r>
        <w:rPr>
          <w:rFonts w:ascii="黑体" w:hAnsi="黑体" w:eastAsia="黑体"/>
          <w:sz w:val="22"/>
          <w:szCs w:val="21"/>
        </w:rPr>
        <w:t>说明该生学业表现</w:t>
      </w:r>
      <w:r>
        <w:rPr>
          <w:rFonts w:hint="eastAsia" w:ascii="黑体" w:hAnsi="黑体" w:eastAsia="黑体"/>
          <w:sz w:val="22"/>
          <w:szCs w:val="21"/>
        </w:rPr>
        <w:t>情况，将</w:t>
      </w:r>
      <w:r>
        <w:rPr>
          <w:rFonts w:ascii="黑体" w:hAnsi="黑体" w:eastAsia="黑体"/>
          <w:sz w:val="22"/>
          <w:szCs w:val="21"/>
        </w:rPr>
        <w:t>作为</w:t>
      </w:r>
      <w:r>
        <w:rPr>
          <w:rFonts w:hint="eastAsia" w:ascii="黑体" w:hAnsi="黑体" w:eastAsia="黑体"/>
          <w:sz w:val="22"/>
          <w:szCs w:val="21"/>
        </w:rPr>
        <w:t>奖学金评审重要</w:t>
      </w:r>
      <w:r>
        <w:rPr>
          <w:rFonts w:ascii="黑体" w:hAnsi="黑体" w:eastAsia="黑体"/>
          <w:sz w:val="22"/>
          <w:szCs w:val="21"/>
        </w:rPr>
        <w:t>参考</w:t>
      </w:r>
      <w:r>
        <w:rPr>
          <w:rFonts w:hint="eastAsia" w:ascii="黑体" w:hAnsi="黑体" w:eastAsia="黑体"/>
          <w:sz w:val="22"/>
          <w:szCs w:val="21"/>
        </w:rPr>
        <w:t>项。</w:t>
      </w:r>
    </w:p>
    <w:p>
      <w:pPr>
        <w:pStyle w:val="16"/>
        <w:widowControl w:val="0"/>
        <w:numPr>
          <w:numId w:val="0"/>
        </w:num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</w:p>
    <w:p>
      <w:p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  <w:r>
        <w:rPr>
          <w:rFonts w:hint="eastAsia" w:ascii="黑体" w:hAnsi="黑体" w:eastAsia="黑体"/>
          <w:sz w:val="22"/>
          <w:szCs w:val="21"/>
        </w:rPr>
        <w:t>附件</w:t>
      </w:r>
      <w:r>
        <w:rPr>
          <w:rFonts w:hint="eastAsia" w:ascii="黑体" w:hAnsi="黑体" w:eastAsia="黑体"/>
          <w:sz w:val="22"/>
          <w:szCs w:val="21"/>
          <w:lang w:eastAsia="zh-CN"/>
        </w:rPr>
        <w:t>：</w:t>
      </w:r>
      <w:r>
        <w:rPr>
          <w:rFonts w:hint="eastAsia" w:ascii="黑体" w:hAnsi="黑体" w:eastAsia="黑体"/>
          <w:sz w:val="22"/>
          <w:szCs w:val="21"/>
        </w:rPr>
        <w:t>物理科学学院、泰达应用物理研究院202</w:t>
      </w:r>
      <w:r>
        <w:rPr>
          <w:rFonts w:hint="eastAsia" w:ascii="黑体" w:hAnsi="黑体" w:eastAsia="黑体"/>
          <w:sz w:val="22"/>
          <w:szCs w:val="21"/>
          <w:lang w:val="en-US" w:eastAsia="zh-CN"/>
        </w:rPr>
        <w:t>2</w:t>
      </w:r>
      <w:r>
        <w:rPr>
          <w:rFonts w:hint="eastAsia" w:ascii="黑体" w:hAnsi="黑体" w:eastAsia="黑体"/>
          <w:sz w:val="22"/>
          <w:szCs w:val="21"/>
        </w:rPr>
        <w:t>年研究生公能奖学金评审实施细则</w:t>
      </w:r>
    </w:p>
    <w:p>
      <w:p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</w:p>
    <w:p>
      <w:p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  <w:bookmarkStart w:id="0" w:name="_GoBack"/>
      <w:bookmarkEnd w:id="0"/>
    </w:p>
    <w:p>
      <w:pPr>
        <w:pStyle w:val="16"/>
        <w:widowControl w:val="0"/>
        <w:numPr>
          <w:numId w:val="0"/>
        </w:numPr>
        <w:spacing w:line="360" w:lineRule="auto"/>
        <w:contextualSpacing/>
        <w:jc w:val="left"/>
        <w:rPr>
          <w:rFonts w:hint="eastAsia" w:ascii="黑体" w:hAnsi="黑体" w:eastAsia="黑体"/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D0D8A"/>
    <w:multiLevelType w:val="singleLevel"/>
    <w:tmpl w:val="AAAD0D8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B69330B"/>
    <w:multiLevelType w:val="multilevel"/>
    <w:tmpl w:val="1B69330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1ZmRkNzVkNWQwNWEwNDhkZmJjNjgzNmQ4NjBhMzUifQ=="/>
  </w:docVars>
  <w:rsids>
    <w:rsidRoot w:val="00802E64"/>
    <w:rsid w:val="00020119"/>
    <w:rsid w:val="00020B23"/>
    <w:rsid w:val="00080F95"/>
    <w:rsid w:val="00106440"/>
    <w:rsid w:val="00107EB2"/>
    <w:rsid w:val="001538A4"/>
    <w:rsid w:val="00156991"/>
    <w:rsid w:val="00194CB5"/>
    <w:rsid w:val="002B2B80"/>
    <w:rsid w:val="002B6B5D"/>
    <w:rsid w:val="002B75BA"/>
    <w:rsid w:val="00325894"/>
    <w:rsid w:val="00326047"/>
    <w:rsid w:val="00326847"/>
    <w:rsid w:val="0033084E"/>
    <w:rsid w:val="0035093A"/>
    <w:rsid w:val="00366758"/>
    <w:rsid w:val="004A5792"/>
    <w:rsid w:val="004D1585"/>
    <w:rsid w:val="00545E02"/>
    <w:rsid w:val="00551173"/>
    <w:rsid w:val="005B545A"/>
    <w:rsid w:val="005C10D8"/>
    <w:rsid w:val="0061318A"/>
    <w:rsid w:val="00657255"/>
    <w:rsid w:val="00686098"/>
    <w:rsid w:val="006A47F5"/>
    <w:rsid w:val="006B30D3"/>
    <w:rsid w:val="006C5885"/>
    <w:rsid w:val="00762F6F"/>
    <w:rsid w:val="007632BB"/>
    <w:rsid w:val="0076502D"/>
    <w:rsid w:val="00802E64"/>
    <w:rsid w:val="00841556"/>
    <w:rsid w:val="008723CF"/>
    <w:rsid w:val="008A16B8"/>
    <w:rsid w:val="008E1B7D"/>
    <w:rsid w:val="00924BF4"/>
    <w:rsid w:val="00925BD1"/>
    <w:rsid w:val="00957F84"/>
    <w:rsid w:val="009E1D67"/>
    <w:rsid w:val="00AF7FA2"/>
    <w:rsid w:val="00B32CF2"/>
    <w:rsid w:val="00B54E03"/>
    <w:rsid w:val="00B54E9F"/>
    <w:rsid w:val="00B768F4"/>
    <w:rsid w:val="00C01A54"/>
    <w:rsid w:val="00C33559"/>
    <w:rsid w:val="00CA1694"/>
    <w:rsid w:val="00D310CE"/>
    <w:rsid w:val="00D61557"/>
    <w:rsid w:val="00D6208A"/>
    <w:rsid w:val="00DB02F4"/>
    <w:rsid w:val="00DC0619"/>
    <w:rsid w:val="00E27A6F"/>
    <w:rsid w:val="00E30E4B"/>
    <w:rsid w:val="00E454BB"/>
    <w:rsid w:val="00E673D2"/>
    <w:rsid w:val="00EA5849"/>
    <w:rsid w:val="00EC18AA"/>
    <w:rsid w:val="00F26058"/>
    <w:rsid w:val="00F7383E"/>
    <w:rsid w:val="00F951DB"/>
    <w:rsid w:val="00F9612D"/>
    <w:rsid w:val="00F977D1"/>
    <w:rsid w:val="00FE188F"/>
    <w:rsid w:val="0A2E6D9B"/>
    <w:rsid w:val="13F52DE4"/>
    <w:rsid w:val="1B5612DD"/>
    <w:rsid w:val="292510FD"/>
    <w:rsid w:val="385829EE"/>
    <w:rsid w:val="596B480F"/>
    <w:rsid w:val="72F10F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4">
    <w:name w:val="日期 Char"/>
    <w:basedOn w:val="8"/>
    <w:link w:val="3"/>
    <w:semiHidden/>
    <w:uiPriority w:val="99"/>
  </w:style>
  <w:style w:type="character" w:customStyle="1" w:styleId="15">
    <w:name w:val="标题 1 Char"/>
    <w:basedOn w:val="8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782</Words>
  <Characters>833</Characters>
  <Lines>7</Lines>
  <Paragraphs>2</Paragraphs>
  <TotalTime>8</TotalTime>
  <ScaleCrop>false</ScaleCrop>
  <LinksUpToDate>false</LinksUpToDate>
  <CharactersWithSpaces>843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2020-09-28T04:31:00Z</dcterms:created>
  <dc:creator>USER</dc:creator>
  <cp:lastModifiedBy>Xiaopeng</cp:lastModifiedBy>
  <dcterms:modified xsi:type="dcterms:W3CDTF">2022-09-21T09:45:38Z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F514E76103D04BD782C4427AC66D3CD9</vt:lpwstr>
  </property>
</Properties>
</file>